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A398" w14:textId="77777777" w:rsidR="00CC6F98" w:rsidRDefault="00CC6F98"/>
    <w:p w14:paraId="4B45A399" w14:textId="77777777" w:rsidR="0074739E" w:rsidRDefault="0074739E" w:rsidP="0074739E">
      <w:pPr>
        <w:pStyle w:val="Zhlav"/>
        <w:tabs>
          <w:tab w:val="left" w:pos="708"/>
        </w:tabs>
        <w:jc w:val="center"/>
        <w:rPr>
          <w:b/>
          <w:spacing w:val="20"/>
          <w:sz w:val="32"/>
          <w:szCs w:val="32"/>
        </w:rPr>
      </w:pPr>
      <w:r w:rsidRPr="007D1A0F">
        <w:rPr>
          <w:b/>
          <w:spacing w:val="20"/>
          <w:sz w:val="32"/>
          <w:szCs w:val="32"/>
        </w:rPr>
        <w:t xml:space="preserve">MATEŘSKÁ ŠKOLA </w:t>
      </w:r>
      <w:r>
        <w:rPr>
          <w:b/>
          <w:spacing w:val="20"/>
          <w:sz w:val="32"/>
          <w:szCs w:val="32"/>
        </w:rPr>
        <w:t>ČEPÍ, OKRES PARDUBICE</w:t>
      </w:r>
    </w:p>
    <w:p w14:paraId="4B45A39A" w14:textId="77777777" w:rsidR="0074739E" w:rsidRPr="009F20A4" w:rsidRDefault="0074739E" w:rsidP="0074739E">
      <w:pPr>
        <w:jc w:val="center"/>
        <w:rPr>
          <w:b/>
          <w:sz w:val="28"/>
          <w:szCs w:val="28"/>
        </w:rPr>
      </w:pPr>
      <w:r>
        <w:rPr>
          <w:b/>
          <w:sz w:val="28"/>
          <w:szCs w:val="28"/>
        </w:rPr>
        <w:t>ČEPÍ 83, 533 32 ČEPÍ</w:t>
      </w:r>
    </w:p>
    <w:p w14:paraId="4B45A39B" w14:textId="77777777" w:rsidR="0074739E" w:rsidRPr="009F20A4" w:rsidRDefault="0074739E" w:rsidP="0074739E">
      <w:pPr>
        <w:pStyle w:val="Nadpis2"/>
        <w:spacing w:after="0"/>
        <w:jc w:val="center"/>
        <w:textAlignment w:val="baseline"/>
        <w:rPr>
          <w:rFonts w:ascii="Times New Roman" w:eastAsia="Times New Roman" w:hAnsi="Times New Roman" w:cs="Times New Roman"/>
          <w:bCs/>
          <w:color w:val="FD0000"/>
          <w:sz w:val="22"/>
        </w:rPr>
      </w:pPr>
      <w:r w:rsidRPr="009F20A4">
        <w:rPr>
          <w:rFonts w:ascii="Times New Roman" w:hAnsi="Times New Roman" w:cs="Times New Roman"/>
          <w:sz w:val="22"/>
        </w:rPr>
        <w:t xml:space="preserve">IČ </w:t>
      </w:r>
      <w:r>
        <w:rPr>
          <w:rFonts w:ascii="Times New Roman" w:hAnsi="Times New Roman" w:cs="Times New Roman"/>
          <w:color w:val="222222"/>
          <w:sz w:val="22"/>
          <w:shd w:val="clear" w:color="auto" w:fill="FFFFFF"/>
        </w:rPr>
        <w:t>750 07 720</w:t>
      </w:r>
      <w:r w:rsidRPr="009F20A4">
        <w:rPr>
          <w:rFonts w:ascii="Times New Roman" w:hAnsi="Times New Roman" w:cs="Times New Roman"/>
          <w:color w:val="222222"/>
          <w:sz w:val="22"/>
          <w:shd w:val="clear" w:color="auto" w:fill="FFFFFF"/>
        </w:rPr>
        <w:t xml:space="preserve">, tel. </w:t>
      </w:r>
      <w:r>
        <w:rPr>
          <w:rFonts w:ascii="Times New Roman" w:eastAsia="Times New Roman" w:hAnsi="Times New Roman" w:cs="Times New Roman"/>
          <w:bCs/>
          <w:sz w:val="22"/>
          <w:bdr w:val="none" w:sz="0" w:space="0" w:color="auto" w:frame="1"/>
        </w:rPr>
        <w:t>739 572 079</w:t>
      </w:r>
      <w:r w:rsidRPr="009F20A4">
        <w:rPr>
          <w:rFonts w:ascii="Times New Roman" w:eastAsia="Times New Roman" w:hAnsi="Times New Roman" w:cs="Times New Roman"/>
          <w:bCs/>
          <w:sz w:val="22"/>
          <w:bdr w:val="none" w:sz="0" w:space="0" w:color="auto" w:frame="1"/>
        </w:rPr>
        <w:t xml:space="preserve">, </w:t>
      </w:r>
      <w:r>
        <w:rPr>
          <w:rFonts w:ascii="Times New Roman" w:hAnsi="Times New Roman" w:cs="Times New Roman"/>
          <w:sz w:val="22"/>
        </w:rPr>
        <w:t>e-mail: materska.skola@cepi.cz</w:t>
      </w:r>
    </w:p>
    <w:p w14:paraId="4B45A39C" w14:textId="77777777" w:rsidR="0074739E" w:rsidRPr="007D1A0F" w:rsidRDefault="0074739E" w:rsidP="0074739E">
      <w:pPr>
        <w:pStyle w:val="Zhlav"/>
        <w:tabs>
          <w:tab w:val="left" w:pos="708"/>
        </w:tabs>
        <w:rPr>
          <w:b/>
          <w:sz w:val="32"/>
          <w:szCs w:val="32"/>
        </w:rPr>
      </w:pPr>
      <w:r w:rsidRPr="007D1A0F">
        <w:rPr>
          <w:b/>
          <w:noProof/>
          <w:sz w:val="32"/>
          <w:szCs w:val="32"/>
          <w:lang w:eastAsia="cs-CZ"/>
        </w:rPr>
        <mc:AlternateContent>
          <mc:Choice Requires="wps">
            <w:drawing>
              <wp:anchor distT="0" distB="0" distL="114300" distR="114300" simplePos="0" relativeHeight="251659264" behindDoc="0" locked="0" layoutInCell="1" allowOverlap="1" wp14:anchorId="4B45A3DC" wp14:editId="4B45A3DD">
                <wp:simplePos x="0" y="0"/>
                <wp:positionH relativeFrom="column">
                  <wp:posOffset>-6350</wp:posOffset>
                </wp:positionH>
                <wp:positionV relativeFrom="paragraph">
                  <wp:posOffset>75565</wp:posOffset>
                </wp:positionV>
                <wp:extent cx="5760720" cy="635"/>
                <wp:effectExtent l="17780" t="20955" r="22225" b="1651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255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455E2B" id="Přímá spojnic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95pt" to="45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" strokeweight=".71mm">
                <v:stroke joinstyle="miter"/>
              </v:line>
            </w:pict>
          </mc:Fallback>
        </mc:AlternateContent>
      </w:r>
    </w:p>
    <w:p w14:paraId="4B45A39D" w14:textId="77777777" w:rsidR="0074739E" w:rsidRPr="007D1A0F" w:rsidRDefault="0074739E" w:rsidP="0074739E">
      <w:pPr>
        <w:spacing w:before="60"/>
        <w:jc w:val="center"/>
        <w:rPr>
          <w:b/>
          <w:smallCaps/>
          <w:sz w:val="32"/>
          <w:szCs w:val="32"/>
        </w:rPr>
      </w:pPr>
    </w:p>
    <w:p w14:paraId="4B45A39E" w14:textId="1C8DF82D" w:rsidR="0074739E" w:rsidRDefault="0074739E" w:rsidP="0074739E">
      <w:pPr>
        <w:spacing w:before="60"/>
        <w:jc w:val="center"/>
        <w:rPr>
          <w:b/>
          <w:smallCaps/>
          <w:sz w:val="40"/>
          <w:szCs w:val="40"/>
        </w:rPr>
      </w:pPr>
      <w:r>
        <w:rPr>
          <w:b/>
          <w:smallCaps/>
          <w:sz w:val="40"/>
          <w:szCs w:val="40"/>
        </w:rPr>
        <w:t>Podmínky a kritéria přijímání dětí</w:t>
      </w:r>
      <w:r>
        <w:rPr>
          <w:b/>
          <w:smallCaps/>
          <w:sz w:val="40"/>
          <w:szCs w:val="40"/>
        </w:rPr>
        <w:br/>
        <w:t>k předškolnímu vzdělávání</w:t>
      </w:r>
      <w:r>
        <w:rPr>
          <w:b/>
          <w:smallCaps/>
          <w:sz w:val="40"/>
          <w:szCs w:val="40"/>
        </w:rPr>
        <w:br/>
        <w:t>v mateřské škole na školní rok 202</w:t>
      </w:r>
      <w:r w:rsidR="0066749E">
        <w:rPr>
          <w:b/>
          <w:smallCaps/>
          <w:sz w:val="40"/>
          <w:szCs w:val="40"/>
        </w:rPr>
        <w:t>3</w:t>
      </w:r>
      <w:r>
        <w:rPr>
          <w:b/>
          <w:smallCaps/>
          <w:sz w:val="40"/>
          <w:szCs w:val="40"/>
        </w:rPr>
        <w:t>/202</w:t>
      </w:r>
      <w:r w:rsidR="0066749E">
        <w:rPr>
          <w:b/>
          <w:smallCaps/>
          <w:sz w:val="40"/>
          <w:szCs w:val="40"/>
        </w:rPr>
        <w:t>4</w:t>
      </w:r>
    </w:p>
    <w:p w14:paraId="4B45A39F" w14:textId="77777777" w:rsidR="0074739E" w:rsidRDefault="0074739E" w:rsidP="0074739E">
      <w:pPr>
        <w:spacing w:before="60"/>
        <w:jc w:val="both"/>
        <w:rPr>
          <w:b/>
          <w:sz w:val="32"/>
          <w:szCs w:val="32"/>
        </w:rPr>
      </w:pPr>
    </w:p>
    <w:p w14:paraId="4B45A3A0" w14:textId="77777777" w:rsidR="0074739E" w:rsidRDefault="0074739E" w:rsidP="0074739E">
      <w:pPr>
        <w:pStyle w:val="Zkladntext"/>
        <w:jc w:val="both"/>
      </w:pPr>
      <w:r>
        <w:t>Ředitelka mateřské školy se při přijímání dětí k předškolnímu vzdělávání řídí § 34 zákona č. 561/2004 Sb. o předškolním, základním, středním, vyšším odborném a jiném vzdělávání, v platném znění a § 2 odst. 4 zákona č. 500/2004 Sb. správní řád a dále vyhláškou č. 14/2005 Sb. o předškolním vzdělávání, v platném znění.</w:t>
      </w:r>
    </w:p>
    <w:p w14:paraId="4B45A3A1" w14:textId="77777777" w:rsidR="0074739E" w:rsidRDefault="0074739E" w:rsidP="0074739E">
      <w:pPr>
        <w:pStyle w:val="Zkladntext"/>
        <w:jc w:val="both"/>
      </w:pPr>
      <w:r>
        <w:t xml:space="preserve">Ředitelka mateřské školy rozhodne o přijetí dítěte k předškolnímu vzdělávání v mateřské škole ve správním řízení na základě přihlášek podaných zákonným zástupcem. </w:t>
      </w:r>
    </w:p>
    <w:p w14:paraId="4B45A3A2" w14:textId="59F49A8F" w:rsidR="0074739E" w:rsidRDefault="0074739E" w:rsidP="0074739E">
      <w:pPr>
        <w:pStyle w:val="Zkladntext"/>
        <w:jc w:val="both"/>
      </w:pPr>
      <w:r>
        <w:t>V řádném přijímacím termínu, který je každoročně veřejně vyhlášen ve spolupráci se zřizovatelem školy Obecním úřadem Čepí, jsou přednostně uspokojovány žádosti v pořadí podle těchto podmínek a kritérií:</w:t>
      </w:r>
    </w:p>
    <w:p w14:paraId="4B45A3A3" w14:textId="77777777" w:rsidR="0074739E" w:rsidRDefault="0074739E" w:rsidP="0074739E">
      <w:pPr>
        <w:pStyle w:val="Zkladntext"/>
        <w:spacing w:before="60"/>
        <w:jc w:val="both"/>
        <w:rPr>
          <w:b/>
          <w:caps/>
        </w:rPr>
      </w:pPr>
    </w:p>
    <w:p w14:paraId="4B45A3A4" w14:textId="77777777" w:rsidR="0074739E" w:rsidRPr="00D515C0" w:rsidRDefault="0074739E" w:rsidP="0074739E">
      <w:pPr>
        <w:pStyle w:val="Zkladntext"/>
        <w:numPr>
          <w:ilvl w:val="0"/>
          <w:numId w:val="2"/>
        </w:numPr>
        <w:spacing w:before="60"/>
        <w:jc w:val="both"/>
        <w:rPr>
          <w:b/>
          <w:caps/>
        </w:rPr>
      </w:pPr>
      <w:r>
        <w:rPr>
          <w:b/>
          <w:caps/>
        </w:rPr>
        <w:t>Podmínky přijetí</w:t>
      </w:r>
    </w:p>
    <w:p w14:paraId="4B45A3A5" w14:textId="77777777" w:rsidR="0074739E" w:rsidRPr="00D515C0" w:rsidRDefault="0074739E" w:rsidP="0074739E">
      <w:pPr>
        <w:pStyle w:val="Normlnweb"/>
        <w:jc w:val="both"/>
        <w:rPr>
          <w:rFonts w:ascii="Verdana" w:hAnsi="Verdana"/>
          <w:color w:val="000000"/>
          <w:sz w:val="22"/>
          <w:szCs w:val="22"/>
        </w:rPr>
      </w:pPr>
      <w:r>
        <w:rPr>
          <w:color w:val="000000"/>
        </w:rPr>
        <w:t>Podmínky předškolního vzdělávání včetně přijímacího řízení vychází ze zákona č. 561/2004 Sb., o předškolním, základním, středním, vyšším odborném a jiném vzdělávání (dále jen školský zákon).</w:t>
      </w:r>
    </w:p>
    <w:p w14:paraId="4B45A3A6" w14:textId="77777777" w:rsidR="0074739E" w:rsidRPr="00154A0D" w:rsidRDefault="0074739E" w:rsidP="0074739E">
      <w:pPr>
        <w:pStyle w:val="Zkladntext"/>
        <w:spacing w:before="60"/>
        <w:jc w:val="both"/>
        <w:rPr>
          <w:rFonts w:ascii="Calibri" w:hAnsi="Calibri" w:cs="Calibri"/>
          <w:sz w:val="23"/>
          <w:szCs w:val="23"/>
        </w:rPr>
      </w:pPr>
      <w:r w:rsidRPr="00290304">
        <w:t xml:space="preserve">V souladu s </w:t>
      </w:r>
      <w:r w:rsidRPr="00290304">
        <w:rPr>
          <w:b/>
        </w:rPr>
        <w:t>§ 34 odst. 1</w:t>
      </w:r>
      <w:r w:rsidRPr="00290304">
        <w:t xml:space="preserve"> zákona č. 561/2004 Sb. se předškolní vzdělávání organizuje pro děti ve věku </w:t>
      </w:r>
      <w:r w:rsidRPr="00446BB8">
        <w:rPr>
          <w:b/>
        </w:rPr>
        <w:t>zpravidla od tří do šesti let</w:t>
      </w:r>
      <w:r>
        <w:t xml:space="preserve">, nejdříve však pro děti od dvou let. </w:t>
      </w:r>
    </w:p>
    <w:p w14:paraId="4B45A3A7" w14:textId="77777777" w:rsidR="0074739E" w:rsidRDefault="0074739E" w:rsidP="0074739E">
      <w:pPr>
        <w:pStyle w:val="Zkladntext"/>
        <w:spacing w:before="60"/>
        <w:jc w:val="both"/>
      </w:pPr>
      <w:r w:rsidRPr="00290304">
        <w:t xml:space="preserve">Dítě se přijímá k předškolnímu vzdělávání, jehož </w:t>
      </w:r>
      <w:r w:rsidRPr="00290304">
        <w:rPr>
          <w:b/>
        </w:rPr>
        <w:t xml:space="preserve">cíle </w:t>
      </w:r>
      <w:r w:rsidRPr="00290304">
        <w:t xml:space="preserve">jsou vymezeny v </w:t>
      </w:r>
      <w:r w:rsidRPr="00290304">
        <w:rPr>
          <w:b/>
        </w:rPr>
        <w:t>§ 33</w:t>
      </w:r>
      <w:r w:rsidRPr="00290304">
        <w:t xml:space="preserve"> zákona č.</w:t>
      </w:r>
      <w:r>
        <w:t> </w:t>
      </w:r>
      <w:r w:rsidRPr="00290304">
        <w:t xml:space="preserve">561/2004 Sb. Z tohoto ustanovení jednoznačně vyplývá, že předškolní vzdělávání skutečně spočívá </w:t>
      </w:r>
      <w:r w:rsidRPr="00290304">
        <w:rPr>
          <w:b/>
        </w:rPr>
        <w:t>především ve vzdělávací činnosti, nikoliv v poskytování péče</w:t>
      </w:r>
      <w:r w:rsidRPr="00290304">
        <w:t>; dítě přijaté k předškolnímu vzdělávání tedy musí být od počátku připraveno plnit požadavky stanovené Rámcovým vzdělávacím programem pro předškolní vzdělávání a školním vzdělávacím programem dané mateřské školy.</w:t>
      </w:r>
    </w:p>
    <w:p w14:paraId="4B45A3A8" w14:textId="77777777" w:rsidR="0074739E" w:rsidRDefault="0074739E" w:rsidP="0074739E">
      <w:pPr>
        <w:pStyle w:val="Normlnweb"/>
        <w:jc w:val="both"/>
        <w:rPr>
          <w:rFonts w:ascii="Verdana" w:hAnsi="Verdana"/>
          <w:color w:val="000000"/>
          <w:sz w:val="22"/>
          <w:szCs w:val="22"/>
        </w:rPr>
      </w:pPr>
      <w:r w:rsidRPr="00EE288C">
        <w:rPr>
          <w:color w:val="000000"/>
          <w:u w:val="single"/>
        </w:rPr>
        <w:t>Od počátku školního roku, který následuje po dni, kdy dítě dosáhlo pátého roku věku, je pro dítě předškolní vzdělání povinné až do zahájení povinné školní docházky do prvního ročníku základní školy</w:t>
      </w:r>
      <w:r>
        <w:rPr>
          <w:color w:val="000000"/>
        </w:rPr>
        <w:t>. Tato povinnost se nevztahuje na děti s hlubokým mentálním postižením. Pokud zákonný zástupce dítě k povinnému předškolnímu vzdělávání nepřihlásí, dopouští se tím přestupku (§ 182 písm. a) školského zákona). </w:t>
      </w:r>
    </w:p>
    <w:p w14:paraId="4B45A3A9" w14:textId="77777777" w:rsidR="0074739E" w:rsidRDefault="0074739E" w:rsidP="0074739E">
      <w:pPr>
        <w:pStyle w:val="Normlnweb"/>
        <w:jc w:val="both"/>
        <w:rPr>
          <w:rFonts w:ascii="Verdana" w:hAnsi="Verdana"/>
          <w:color w:val="000000"/>
          <w:sz w:val="22"/>
          <w:szCs w:val="22"/>
        </w:rPr>
      </w:pPr>
      <w:r>
        <w:rPr>
          <w:color w:val="000000"/>
        </w:rPr>
        <w:t>Zákonný zástupce dítěte je také povinen informovat ředitele mateřské školy o jiném způsobu povinného předškolního vzdělávání (individuální vzdělávání) ve lhůtě nejpozději tři měsíce před začátkem školního roku, kterým začíná povinnost předškolního vzdělávání dítěte.                   </w:t>
      </w:r>
    </w:p>
    <w:p w14:paraId="4B45A3AA" w14:textId="77777777" w:rsidR="0074739E" w:rsidRDefault="0074739E" w:rsidP="0074739E">
      <w:pPr>
        <w:pStyle w:val="Normlnweb"/>
        <w:jc w:val="both"/>
        <w:rPr>
          <w:rFonts w:ascii="Verdana" w:hAnsi="Verdana"/>
          <w:color w:val="000000"/>
          <w:sz w:val="22"/>
          <w:szCs w:val="22"/>
        </w:rPr>
      </w:pPr>
      <w:r>
        <w:rPr>
          <w:color w:val="000000"/>
        </w:rPr>
        <w:lastRenderedPageBreak/>
        <w:t>O přijetí dítěte se speciálně vzdělávacími potřebami (§16 školského zákona) rozhodne ředitelka mateřské školy na základě písemného vyjádření školského poradenského zařízení, případně také registrujícího praktického lékaře pro děti a dorost v souladu s ustanovením § 34 odst. 6 školského zákona s přihlédnutím k místním podmínkám mateřské školy.</w:t>
      </w:r>
      <w:r>
        <w:rPr>
          <w:rStyle w:val="Siln"/>
          <w:color w:val="000000"/>
        </w:rPr>
        <w:t> </w:t>
      </w:r>
    </w:p>
    <w:p w14:paraId="4B45A3AB" w14:textId="77777777" w:rsidR="0074739E" w:rsidRDefault="0074739E" w:rsidP="0074739E">
      <w:pPr>
        <w:pStyle w:val="Normlnweb"/>
        <w:jc w:val="both"/>
        <w:rPr>
          <w:rFonts w:ascii="Verdana" w:hAnsi="Verdana"/>
          <w:color w:val="000000"/>
          <w:sz w:val="22"/>
          <w:szCs w:val="22"/>
        </w:rPr>
      </w:pPr>
      <w:r>
        <w:rPr>
          <w:color w:val="000000"/>
        </w:rPr>
        <w:t>Dle § 50 zákona č. 258/2000 Sb., ve znění pozdějších předpisů může být do mateřské školy přijato dítě, které se podrobilo povinnému očkování dle očkovacího kalendáře. Pokud očkováno není, musí být doložen doklad, že je vůči nákaze imunní nebo se nemůže očkování podrobit pro trvalou kontraindikaci. U dětí, které podléhají povinnému předškolnímu vzdělávání, škola dodržení tohoto ustanovení nevyžaduje.</w:t>
      </w:r>
    </w:p>
    <w:p w14:paraId="4B45A3AC" w14:textId="16870D82" w:rsidR="0074739E" w:rsidRDefault="0074739E" w:rsidP="0074739E">
      <w:pPr>
        <w:pStyle w:val="Normlnweb"/>
        <w:jc w:val="both"/>
        <w:rPr>
          <w:color w:val="000000"/>
        </w:rPr>
      </w:pPr>
      <w:r>
        <w:rPr>
          <w:color w:val="000000"/>
        </w:rPr>
        <w:t>Veškeré osobní údaje jsou důsledně využívány pro účely zajištění provedení úkonů ve správním řízení.  </w:t>
      </w:r>
    </w:p>
    <w:p w14:paraId="4B45A3AD" w14:textId="77777777" w:rsidR="0074739E" w:rsidRPr="0040330B" w:rsidRDefault="0074739E" w:rsidP="0074739E"/>
    <w:p w14:paraId="4B45A3AE" w14:textId="77777777" w:rsidR="0074739E" w:rsidRDefault="0074739E" w:rsidP="0074739E">
      <w:pPr>
        <w:numPr>
          <w:ilvl w:val="0"/>
          <w:numId w:val="2"/>
        </w:numPr>
        <w:jc w:val="both"/>
        <w:rPr>
          <w:b/>
        </w:rPr>
      </w:pPr>
      <w:r w:rsidRPr="00290304">
        <w:rPr>
          <w:b/>
        </w:rPr>
        <w:t>KRITÉRIA PŘIJETÍ</w:t>
      </w:r>
    </w:p>
    <w:p w14:paraId="4B45A3AF" w14:textId="77777777" w:rsidR="0074739E" w:rsidRDefault="0074739E" w:rsidP="0074739E">
      <w:pPr>
        <w:jc w:val="both"/>
      </w:pPr>
    </w:p>
    <w:p w14:paraId="4B45A3B0" w14:textId="3C02214F" w:rsidR="0074739E" w:rsidRPr="0040330B" w:rsidRDefault="0074739E" w:rsidP="0074739E">
      <w:pPr>
        <w:tabs>
          <w:tab w:val="left" w:pos="7020"/>
        </w:tabs>
        <w:spacing w:after="240"/>
        <w:jc w:val="both"/>
        <w:rPr>
          <w:b/>
          <w:caps/>
        </w:rPr>
      </w:pPr>
      <w:r w:rsidRPr="0040330B">
        <w:t>Kritéria se vždy vztahují k začátku školního roku</w:t>
      </w:r>
      <w:r w:rsidR="005C658A">
        <w:t>,</w:t>
      </w:r>
      <w:r w:rsidRPr="0040330B">
        <w:t xml:space="preserve"> tj. k </w:t>
      </w:r>
      <w:r w:rsidRPr="0040330B">
        <w:rPr>
          <w:b/>
          <w:bCs/>
        </w:rPr>
        <w:t xml:space="preserve">1. 9. </w:t>
      </w:r>
    </w:p>
    <w:p w14:paraId="4B45A3B1" w14:textId="77777777" w:rsidR="0074739E" w:rsidRPr="00290304" w:rsidRDefault="0074739E" w:rsidP="0074739E">
      <w:pPr>
        <w:jc w:val="both"/>
      </w:pPr>
      <w:r w:rsidRPr="00290304">
        <w:t>Do přijímacího řízení budou zařazeny pouze žádosti s datem přijetí k 1. 9. příslušného školního roku</w:t>
      </w:r>
      <w:r>
        <w:t>.</w:t>
      </w:r>
    </w:p>
    <w:p w14:paraId="4B45A3B2" w14:textId="77777777" w:rsidR="0074739E" w:rsidRPr="00290304" w:rsidRDefault="0074739E" w:rsidP="0074739E">
      <w:pPr>
        <w:jc w:val="both"/>
      </w:pPr>
    </w:p>
    <w:p w14:paraId="4B45A3B3" w14:textId="77777777" w:rsidR="0074739E" w:rsidRPr="00290304" w:rsidRDefault="0074739E" w:rsidP="0074739E">
      <w:pPr>
        <w:jc w:val="both"/>
      </w:pPr>
      <w:r>
        <w:rPr>
          <w:color w:val="000000"/>
          <w:shd w:val="clear" w:color="auto" w:fill="FFFFFF"/>
        </w:rPr>
        <w:t>Pokud počet podaných žádostí převyšuje kapacitu volných míst v mateřské škole, rozhoduje ředitelka o přijetí a nepřijetí dítěte podle uvedených kritérií. </w:t>
      </w:r>
      <w:r>
        <w:t xml:space="preserve"> </w:t>
      </w:r>
    </w:p>
    <w:p w14:paraId="0FE65062" w14:textId="299E46A7" w:rsidR="001745B0" w:rsidRDefault="001745B0" w:rsidP="0074739E">
      <w:pPr>
        <w:spacing w:after="120"/>
        <w:jc w:val="both"/>
        <w:rPr>
          <w:color w:val="000000"/>
          <w:shd w:val="clear" w:color="auto" w:fill="FFFFFF"/>
        </w:rPr>
      </w:pPr>
    </w:p>
    <w:p w14:paraId="3809407F" w14:textId="77777777" w:rsidR="00605824" w:rsidRDefault="00605824" w:rsidP="0074739E">
      <w:pPr>
        <w:spacing w:after="120"/>
        <w:jc w:val="both"/>
        <w:rPr>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264"/>
        <w:gridCol w:w="2263"/>
      </w:tblGrid>
      <w:tr w:rsidR="0074739E" w:rsidRPr="007D771E" w14:paraId="4B45A3B7" w14:textId="77777777" w:rsidTr="00FA3033">
        <w:tc>
          <w:tcPr>
            <w:tcW w:w="4535" w:type="dxa"/>
            <w:shd w:val="clear" w:color="auto" w:fill="auto"/>
          </w:tcPr>
          <w:p w14:paraId="4B45A3B5" w14:textId="77777777" w:rsidR="0074739E" w:rsidRPr="007D771E" w:rsidRDefault="0074739E" w:rsidP="006D1FE8">
            <w:pPr>
              <w:spacing w:after="120"/>
              <w:jc w:val="both"/>
              <w:rPr>
                <w:b/>
                <w:color w:val="000000"/>
                <w:shd w:val="clear" w:color="auto" w:fill="FFFFFF"/>
              </w:rPr>
            </w:pPr>
            <w:r w:rsidRPr="007D771E">
              <w:rPr>
                <w:b/>
                <w:color w:val="000000"/>
                <w:shd w:val="clear" w:color="auto" w:fill="FFFFFF"/>
              </w:rPr>
              <w:t>KRITÉRIUM PŘIJETÍ</w:t>
            </w:r>
          </w:p>
        </w:tc>
        <w:tc>
          <w:tcPr>
            <w:tcW w:w="4527" w:type="dxa"/>
            <w:gridSpan w:val="2"/>
            <w:shd w:val="clear" w:color="auto" w:fill="auto"/>
          </w:tcPr>
          <w:p w14:paraId="4B45A3B6" w14:textId="77777777" w:rsidR="0074739E" w:rsidRPr="007D771E" w:rsidRDefault="0074739E" w:rsidP="006D1FE8">
            <w:pPr>
              <w:spacing w:after="120"/>
              <w:jc w:val="both"/>
              <w:rPr>
                <w:b/>
                <w:color w:val="000000"/>
                <w:shd w:val="clear" w:color="auto" w:fill="FFFFFF"/>
              </w:rPr>
            </w:pPr>
            <w:r w:rsidRPr="007D771E">
              <w:rPr>
                <w:b/>
                <w:color w:val="000000"/>
                <w:shd w:val="clear" w:color="auto" w:fill="FFFFFF"/>
              </w:rPr>
              <w:t>BODY</w:t>
            </w:r>
          </w:p>
        </w:tc>
      </w:tr>
      <w:tr w:rsidR="004D1946" w:rsidRPr="007D771E" w14:paraId="4B45A3BA" w14:textId="77777777" w:rsidTr="00FA3033">
        <w:tc>
          <w:tcPr>
            <w:tcW w:w="4535" w:type="dxa"/>
            <w:shd w:val="clear" w:color="auto" w:fill="auto"/>
          </w:tcPr>
          <w:p w14:paraId="4B45A3B8" w14:textId="66D030B3" w:rsidR="004D1946" w:rsidRPr="007D771E" w:rsidRDefault="00FE275A" w:rsidP="004D1946">
            <w:pPr>
              <w:spacing w:after="120"/>
              <w:jc w:val="both"/>
              <w:rPr>
                <w:color w:val="000000"/>
                <w:shd w:val="clear" w:color="auto" w:fill="FFFFFF"/>
              </w:rPr>
            </w:pPr>
            <w:r>
              <w:rPr>
                <w:color w:val="000000"/>
                <w:shd w:val="clear" w:color="auto" w:fill="FFFFFF"/>
              </w:rPr>
              <w:t>Trvalý pobyt dítěte v obci Čepí</w:t>
            </w:r>
          </w:p>
        </w:tc>
        <w:tc>
          <w:tcPr>
            <w:tcW w:w="4527" w:type="dxa"/>
            <w:gridSpan w:val="2"/>
            <w:shd w:val="clear" w:color="auto" w:fill="auto"/>
          </w:tcPr>
          <w:p w14:paraId="4B45A3B9" w14:textId="6A966CD1" w:rsidR="004D1946" w:rsidRPr="007D771E" w:rsidRDefault="006E15E5" w:rsidP="004D1946">
            <w:pPr>
              <w:spacing w:after="120"/>
              <w:jc w:val="both"/>
              <w:rPr>
                <w:b/>
                <w:color w:val="000000"/>
                <w:shd w:val="clear" w:color="auto" w:fill="FFFFFF"/>
              </w:rPr>
            </w:pPr>
            <w:r>
              <w:rPr>
                <w:b/>
                <w:color w:val="000000"/>
                <w:shd w:val="clear" w:color="auto" w:fill="FFFFFF"/>
              </w:rPr>
              <w:t>100</w:t>
            </w:r>
          </w:p>
        </w:tc>
      </w:tr>
      <w:tr w:rsidR="004D1946" w:rsidRPr="007D771E" w14:paraId="4C2314CA" w14:textId="77777777" w:rsidTr="00FA3033">
        <w:tc>
          <w:tcPr>
            <w:tcW w:w="4535" w:type="dxa"/>
            <w:shd w:val="clear" w:color="auto" w:fill="auto"/>
          </w:tcPr>
          <w:p w14:paraId="1F10938D" w14:textId="540A419B" w:rsidR="004D1946" w:rsidRPr="007D771E" w:rsidRDefault="004D1946" w:rsidP="004D1946">
            <w:pPr>
              <w:spacing w:after="120"/>
              <w:jc w:val="both"/>
              <w:rPr>
                <w:color w:val="000000"/>
                <w:shd w:val="clear" w:color="auto" w:fill="FFFFFF"/>
              </w:rPr>
            </w:pPr>
            <w:r w:rsidRPr="007D771E">
              <w:rPr>
                <w:color w:val="000000"/>
                <w:shd w:val="clear" w:color="auto" w:fill="FFFFFF"/>
              </w:rPr>
              <w:t>Věk dítěte k 1.9.202</w:t>
            </w:r>
            <w:r w:rsidR="009C6863">
              <w:rPr>
                <w:color w:val="000000"/>
                <w:shd w:val="clear" w:color="auto" w:fill="FFFFFF"/>
              </w:rPr>
              <w:t>3</w:t>
            </w:r>
          </w:p>
        </w:tc>
        <w:tc>
          <w:tcPr>
            <w:tcW w:w="2264" w:type="dxa"/>
            <w:shd w:val="clear" w:color="auto" w:fill="auto"/>
          </w:tcPr>
          <w:p w14:paraId="27165D9A" w14:textId="62D4E33C" w:rsidR="004D1946" w:rsidRDefault="004D1946" w:rsidP="004D1946">
            <w:pPr>
              <w:spacing w:after="120"/>
              <w:jc w:val="both"/>
              <w:rPr>
                <w:b/>
                <w:color w:val="000000"/>
                <w:shd w:val="clear" w:color="auto" w:fill="FFFFFF"/>
              </w:rPr>
            </w:pPr>
            <w:r w:rsidRPr="007D771E">
              <w:rPr>
                <w:color w:val="000000"/>
                <w:shd w:val="clear" w:color="auto" w:fill="FFFFFF"/>
              </w:rPr>
              <w:t>5 a více let</w:t>
            </w:r>
          </w:p>
        </w:tc>
        <w:tc>
          <w:tcPr>
            <w:tcW w:w="2263" w:type="dxa"/>
            <w:shd w:val="clear" w:color="auto" w:fill="auto"/>
          </w:tcPr>
          <w:p w14:paraId="59F94D9B" w14:textId="550E9AB5" w:rsidR="004D1946" w:rsidRDefault="006E15E5" w:rsidP="004D1946">
            <w:pPr>
              <w:spacing w:after="120"/>
              <w:jc w:val="both"/>
              <w:rPr>
                <w:b/>
                <w:color w:val="000000"/>
                <w:shd w:val="clear" w:color="auto" w:fill="FFFFFF"/>
              </w:rPr>
            </w:pPr>
            <w:r>
              <w:rPr>
                <w:b/>
                <w:color w:val="000000"/>
                <w:shd w:val="clear" w:color="auto" w:fill="FFFFFF"/>
              </w:rPr>
              <w:t>6</w:t>
            </w:r>
            <w:r w:rsidR="004D1946">
              <w:rPr>
                <w:b/>
                <w:color w:val="000000"/>
                <w:shd w:val="clear" w:color="auto" w:fill="FFFFFF"/>
              </w:rPr>
              <w:t>0</w:t>
            </w:r>
          </w:p>
        </w:tc>
      </w:tr>
      <w:tr w:rsidR="00E74117" w:rsidRPr="007D771E" w14:paraId="653ABF5D" w14:textId="77777777" w:rsidTr="00FA3033">
        <w:tc>
          <w:tcPr>
            <w:tcW w:w="4535" w:type="dxa"/>
            <w:shd w:val="clear" w:color="auto" w:fill="auto"/>
          </w:tcPr>
          <w:p w14:paraId="3EB95017" w14:textId="77777777" w:rsidR="00E74117" w:rsidRPr="007D771E" w:rsidRDefault="00E74117" w:rsidP="00E74117">
            <w:pPr>
              <w:spacing w:after="120"/>
              <w:jc w:val="both"/>
              <w:rPr>
                <w:color w:val="000000"/>
                <w:shd w:val="clear" w:color="auto" w:fill="FFFFFF"/>
              </w:rPr>
            </w:pPr>
          </w:p>
        </w:tc>
        <w:tc>
          <w:tcPr>
            <w:tcW w:w="2264" w:type="dxa"/>
            <w:shd w:val="clear" w:color="auto" w:fill="auto"/>
          </w:tcPr>
          <w:p w14:paraId="66425CB8" w14:textId="6B34B543" w:rsidR="00E74117" w:rsidRPr="007D771E" w:rsidRDefault="00E74117" w:rsidP="00E74117">
            <w:pPr>
              <w:spacing w:after="120"/>
              <w:jc w:val="both"/>
              <w:rPr>
                <w:color w:val="000000"/>
                <w:shd w:val="clear" w:color="auto" w:fill="FFFFFF"/>
              </w:rPr>
            </w:pPr>
            <w:r w:rsidRPr="007D771E">
              <w:rPr>
                <w:color w:val="000000"/>
                <w:shd w:val="clear" w:color="auto" w:fill="FFFFFF"/>
              </w:rPr>
              <w:t>4 roky</w:t>
            </w:r>
          </w:p>
        </w:tc>
        <w:tc>
          <w:tcPr>
            <w:tcW w:w="2263" w:type="dxa"/>
            <w:shd w:val="clear" w:color="auto" w:fill="auto"/>
          </w:tcPr>
          <w:p w14:paraId="1AEBDAEF" w14:textId="54EE7662" w:rsidR="00E74117" w:rsidRDefault="006E15E5" w:rsidP="00E74117">
            <w:pPr>
              <w:spacing w:after="120"/>
              <w:jc w:val="both"/>
              <w:rPr>
                <w:b/>
                <w:color w:val="000000"/>
                <w:shd w:val="clear" w:color="auto" w:fill="FFFFFF"/>
              </w:rPr>
            </w:pPr>
            <w:r>
              <w:rPr>
                <w:b/>
                <w:color w:val="000000"/>
                <w:shd w:val="clear" w:color="auto" w:fill="FFFFFF"/>
              </w:rPr>
              <w:t>4</w:t>
            </w:r>
            <w:r w:rsidR="00E74117">
              <w:rPr>
                <w:b/>
                <w:color w:val="000000"/>
                <w:shd w:val="clear" w:color="auto" w:fill="FFFFFF"/>
              </w:rPr>
              <w:t>0</w:t>
            </w:r>
          </w:p>
        </w:tc>
      </w:tr>
      <w:tr w:rsidR="00E74117" w:rsidRPr="007D771E" w14:paraId="0F532697" w14:textId="77777777" w:rsidTr="00FA3033">
        <w:tc>
          <w:tcPr>
            <w:tcW w:w="4535" w:type="dxa"/>
            <w:shd w:val="clear" w:color="auto" w:fill="auto"/>
          </w:tcPr>
          <w:p w14:paraId="5456EB76" w14:textId="77777777" w:rsidR="00E74117" w:rsidRPr="007D771E" w:rsidRDefault="00E74117" w:rsidP="00E74117">
            <w:pPr>
              <w:spacing w:after="120"/>
              <w:jc w:val="both"/>
              <w:rPr>
                <w:color w:val="000000"/>
                <w:shd w:val="clear" w:color="auto" w:fill="FFFFFF"/>
              </w:rPr>
            </w:pPr>
          </w:p>
        </w:tc>
        <w:tc>
          <w:tcPr>
            <w:tcW w:w="2264" w:type="dxa"/>
            <w:shd w:val="clear" w:color="auto" w:fill="auto"/>
          </w:tcPr>
          <w:p w14:paraId="2593F2F3" w14:textId="7A08DE67" w:rsidR="00E74117" w:rsidRPr="007D771E" w:rsidRDefault="00E74117" w:rsidP="00E74117">
            <w:pPr>
              <w:spacing w:after="120"/>
              <w:jc w:val="both"/>
              <w:rPr>
                <w:color w:val="000000"/>
                <w:shd w:val="clear" w:color="auto" w:fill="FFFFFF"/>
              </w:rPr>
            </w:pPr>
            <w:r w:rsidRPr="007D771E">
              <w:rPr>
                <w:color w:val="000000"/>
                <w:shd w:val="clear" w:color="auto" w:fill="FFFFFF"/>
              </w:rPr>
              <w:t>3 roky</w:t>
            </w:r>
          </w:p>
        </w:tc>
        <w:tc>
          <w:tcPr>
            <w:tcW w:w="2263" w:type="dxa"/>
            <w:shd w:val="clear" w:color="auto" w:fill="auto"/>
          </w:tcPr>
          <w:p w14:paraId="37DC0907" w14:textId="78365A24" w:rsidR="00E74117" w:rsidRDefault="006E15E5" w:rsidP="00E74117">
            <w:pPr>
              <w:spacing w:after="120"/>
              <w:jc w:val="both"/>
              <w:rPr>
                <w:b/>
                <w:color w:val="000000"/>
                <w:shd w:val="clear" w:color="auto" w:fill="FFFFFF"/>
              </w:rPr>
            </w:pPr>
            <w:r>
              <w:rPr>
                <w:b/>
                <w:color w:val="000000"/>
                <w:shd w:val="clear" w:color="auto" w:fill="FFFFFF"/>
              </w:rPr>
              <w:t>2</w:t>
            </w:r>
            <w:r w:rsidR="00E74117">
              <w:rPr>
                <w:b/>
                <w:color w:val="000000"/>
                <w:shd w:val="clear" w:color="auto" w:fill="FFFFFF"/>
              </w:rPr>
              <w:t>0</w:t>
            </w:r>
          </w:p>
        </w:tc>
      </w:tr>
      <w:tr w:rsidR="00E74117" w:rsidRPr="007D771E" w14:paraId="5D8C5FF2" w14:textId="77777777" w:rsidTr="00FA3033">
        <w:tc>
          <w:tcPr>
            <w:tcW w:w="4535" w:type="dxa"/>
            <w:shd w:val="clear" w:color="auto" w:fill="auto"/>
          </w:tcPr>
          <w:p w14:paraId="23CE7E27" w14:textId="77777777" w:rsidR="00E74117" w:rsidRPr="007D771E" w:rsidRDefault="00E74117" w:rsidP="00E74117">
            <w:pPr>
              <w:spacing w:after="120"/>
              <w:jc w:val="both"/>
              <w:rPr>
                <w:color w:val="000000"/>
                <w:shd w:val="clear" w:color="auto" w:fill="FFFFFF"/>
              </w:rPr>
            </w:pPr>
          </w:p>
        </w:tc>
        <w:tc>
          <w:tcPr>
            <w:tcW w:w="2264" w:type="dxa"/>
            <w:shd w:val="clear" w:color="auto" w:fill="auto"/>
          </w:tcPr>
          <w:p w14:paraId="43CA5E4F" w14:textId="29CCBD96" w:rsidR="00E74117" w:rsidRPr="007D771E" w:rsidRDefault="00E74117" w:rsidP="00E74117">
            <w:pPr>
              <w:spacing w:after="120"/>
              <w:jc w:val="both"/>
              <w:rPr>
                <w:color w:val="000000"/>
                <w:shd w:val="clear" w:color="auto" w:fill="FFFFFF"/>
              </w:rPr>
            </w:pPr>
            <w:r w:rsidRPr="007D771E">
              <w:rPr>
                <w:color w:val="000000"/>
                <w:shd w:val="clear" w:color="auto" w:fill="FFFFFF"/>
              </w:rPr>
              <w:t>2 roky</w:t>
            </w:r>
          </w:p>
        </w:tc>
        <w:tc>
          <w:tcPr>
            <w:tcW w:w="2263" w:type="dxa"/>
            <w:shd w:val="clear" w:color="auto" w:fill="auto"/>
          </w:tcPr>
          <w:p w14:paraId="4590C2C2" w14:textId="2E91DF49" w:rsidR="00E74117" w:rsidRDefault="00E74117" w:rsidP="00E74117">
            <w:pPr>
              <w:spacing w:after="120"/>
              <w:jc w:val="both"/>
              <w:rPr>
                <w:b/>
                <w:color w:val="000000"/>
                <w:shd w:val="clear" w:color="auto" w:fill="FFFFFF"/>
              </w:rPr>
            </w:pPr>
            <w:r w:rsidRPr="007D771E">
              <w:rPr>
                <w:b/>
                <w:color w:val="000000"/>
                <w:shd w:val="clear" w:color="auto" w:fill="FFFFFF"/>
              </w:rPr>
              <w:t>0</w:t>
            </w:r>
          </w:p>
        </w:tc>
      </w:tr>
    </w:tbl>
    <w:p w14:paraId="173E7DCD" w14:textId="77777777" w:rsidR="00552F9D" w:rsidRDefault="00552F9D" w:rsidP="001745B0">
      <w:pPr>
        <w:pStyle w:val="-wm-msonormal"/>
        <w:jc w:val="both"/>
      </w:pPr>
    </w:p>
    <w:p w14:paraId="4B45A3CB" w14:textId="7E622BFD" w:rsidR="0074739E" w:rsidRDefault="0074739E" w:rsidP="001745B0">
      <w:pPr>
        <w:pStyle w:val="-wm-msonormal"/>
        <w:jc w:val="both"/>
      </w:pPr>
      <w:r>
        <w:t>Upřednostnění se týká též dětí občanů Evropské unie či občanů třetích zemí, kteří mají hlášeno místo pobytu na území obce. Občané třetích zemí jsou povinni doložit oprávnění k pobytu na území České republiky ve smyslu ustanovení § 20 odst. 2 písm. d) školského zákona.</w:t>
      </w:r>
    </w:p>
    <w:p w14:paraId="4A8B381D" w14:textId="1C67351F" w:rsidR="001745B0" w:rsidRDefault="0074739E" w:rsidP="001745B0">
      <w:pPr>
        <w:pStyle w:val="-wm-msonormal"/>
        <w:jc w:val="both"/>
        <w:rPr>
          <w:b/>
        </w:rPr>
      </w:pPr>
      <w:r>
        <w:t xml:space="preserve">Přednostně bude přijato dítě s vyšším celkovým hodnocením. Při shodnosti bodů bude rozhodovat věk dítěte – starší má přednost. V případě shodnosti bodů i data narození dítěte, rozhodne o přijetí los za přítomnosti zástupce zřizovatele školy. </w:t>
      </w:r>
      <w:r w:rsidRPr="000613F7">
        <w:rPr>
          <w:u w:val="single"/>
        </w:rPr>
        <w:t>O přijetí nerozhoduje datum</w:t>
      </w:r>
      <w:r>
        <w:t xml:space="preserve"> </w:t>
      </w:r>
      <w:r w:rsidRPr="000613F7">
        <w:rPr>
          <w:u w:val="single"/>
        </w:rPr>
        <w:t>podání ani pořadí podané přihlášky</w:t>
      </w:r>
      <w:r>
        <w:t xml:space="preserve">. </w:t>
      </w:r>
      <w:r w:rsidRPr="00872F1F">
        <w:rPr>
          <w:b/>
        </w:rPr>
        <w:t>Na pozdější doručení žádosti nebude brán zřetel</w:t>
      </w:r>
      <w:r w:rsidR="001745B0">
        <w:rPr>
          <w:b/>
        </w:rPr>
        <w:t>.</w:t>
      </w:r>
    </w:p>
    <w:p w14:paraId="4F194DD2" w14:textId="673FD0CC" w:rsidR="00540649" w:rsidRDefault="00540649" w:rsidP="00540649">
      <w:pPr>
        <w:pStyle w:val="-wm-msonormal"/>
        <w:jc w:val="both"/>
        <w:rPr>
          <w:b/>
        </w:rPr>
      </w:pPr>
    </w:p>
    <w:p w14:paraId="163A1307" w14:textId="77777777" w:rsidR="00552F9D" w:rsidRPr="00540649" w:rsidRDefault="00552F9D" w:rsidP="00540649">
      <w:pPr>
        <w:pStyle w:val="-wm-msonormal"/>
        <w:jc w:val="both"/>
        <w:rPr>
          <w:b/>
        </w:rPr>
      </w:pPr>
    </w:p>
    <w:p w14:paraId="18CB5FF6" w14:textId="655051FA" w:rsidR="00540649" w:rsidRPr="00C97F06" w:rsidRDefault="00540649" w:rsidP="00540649">
      <w:pPr>
        <w:pStyle w:val="-wm-msonormal"/>
        <w:jc w:val="both"/>
        <w:rPr>
          <w:b/>
          <w:u w:val="single"/>
        </w:rPr>
      </w:pPr>
      <w:r w:rsidRPr="00C97F06">
        <w:rPr>
          <w:b/>
          <w:u w:val="single"/>
        </w:rPr>
        <w:lastRenderedPageBreak/>
        <w:t>J</w:t>
      </w:r>
      <w:r w:rsidR="00E4240F">
        <w:rPr>
          <w:b/>
          <w:u w:val="single"/>
        </w:rPr>
        <w:t>AK ROZUMNĚT KRITÉRIÍM</w:t>
      </w:r>
      <w:r w:rsidRPr="00C97F06">
        <w:rPr>
          <w:b/>
          <w:u w:val="single"/>
        </w:rPr>
        <w:t>:</w:t>
      </w:r>
    </w:p>
    <w:p w14:paraId="4D2D1EB5" w14:textId="536CE2BC" w:rsidR="00540649" w:rsidRPr="00C97F06" w:rsidRDefault="00540649" w:rsidP="00540649">
      <w:pPr>
        <w:pStyle w:val="-wm-msonormal"/>
        <w:jc w:val="both"/>
        <w:rPr>
          <w:bCs/>
        </w:rPr>
      </w:pPr>
      <w:r w:rsidRPr="00C97F06">
        <w:rPr>
          <w:bCs/>
        </w:rPr>
        <w:t xml:space="preserve">Kritéria pro přijímání dětí do mateřské školy Čepí zohledňují věk, trvalé bydliště a skutečné bydliště dítěte. </w:t>
      </w:r>
    </w:p>
    <w:p w14:paraId="56FFE463" w14:textId="77777777" w:rsidR="00540649" w:rsidRPr="00C97F06" w:rsidRDefault="00540649" w:rsidP="00540649">
      <w:pPr>
        <w:pStyle w:val="-wm-msonormal"/>
        <w:jc w:val="both"/>
        <w:rPr>
          <w:bCs/>
        </w:rPr>
      </w:pPr>
      <w:r w:rsidRPr="00C97F06">
        <w:rPr>
          <w:bCs/>
        </w:rPr>
        <w:t>Ředitelka mateřské školy může přihlédnout k důvodům hodným zvláštního zřetele - tj. např. zdravotní důvody zákonných zástupců (např. příspěvek na péči, invalidní důchod, průkaz ZTP/P).</w:t>
      </w:r>
    </w:p>
    <w:p w14:paraId="31E9939D" w14:textId="77777777" w:rsidR="00540649" w:rsidRPr="00C97F06" w:rsidRDefault="00540649" w:rsidP="00E4240F">
      <w:pPr>
        <w:pStyle w:val="-wm-msonormal"/>
        <w:numPr>
          <w:ilvl w:val="0"/>
          <w:numId w:val="5"/>
        </w:numPr>
        <w:jc w:val="both"/>
        <w:rPr>
          <w:b/>
          <w:u w:val="single"/>
        </w:rPr>
      </w:pPr>
      <w:r w:rsidRPr="00C97F06">
        <w:rPr>
          <w:b/>
          <w:u w:val="single"/>
        </w:rPr>
        <w:t>Trvalý pobyt dítěte</w:t>
      </w:r>
    </w:p>
    <w:p w14:paraId="68D0CC38" w14:textId="77777777" w:rsidR="00540649" w:rsidRPr="00C97F06" w:rsidRDefault="00540649" w:rsidP="00540649">
      <w:pPr>
        <w:pStyle w:val="-wm-msonormal"/>
        <w:jc w:val="both"/>
        <w:rPr>
          <w:bCs/>
        </w:rPr>
      </w:pPr>
      <w:r w:rsidRPr="00C97F06">
        <w:rPr>
          <w:bCs/>
        </w:rPr>
        <w:t>Toto kritérium sleduje pouze trvalý pobyt zapisovaného dítěte, nikoliv zákonných zástupců. Pobyt dítěte se vždy posuzuje ke dni zápisu.</w:t>
      </w:r>
    </w:p>
    <w:p w14:paraId="2D37668C" w14:textId="3F663A82" w:rsidR="00540649" w:rsidRPr="00C97F06" w:rsidRDefault="00540649" w:rsidP="00540649">
      <w:pPr>
        <w:pStyle w:val="-wm-msonormal"/>
        <w:jc w:val="both"/>
        <w:rPr>
          <w:bCs/>
        </w:rPr>
      </w:pPr>
      <w:r w:rsidRPr="00C97F06">
        <w:rPr>
          <w:bCs/>
        </w:rPr>
        <w:t xml:space="preserve">Pokud </w:t>
      </w:r>
      <w:r w:rsidR="00C97F06">
        <w:rPr>
          <w:bCs/>
        </w:rPr>
        <w:t xml:space="preserve">je </w:t>
      </w:r>
      <w:r w:rsidR="0050020D">
        <w:rPr>
          <w:bCs/>
        </w:rPr>
        <w:t xml:space="preserve">ale </w:t>
      </w:r>
      <w:r w:rsidRPr="00C97F06">
        <w:rPr>
          <w:bCs/>
        </w:rPr>
        <w:t xml:space="preserve">trvalý pobyt dítěte </w:t>
      </w:r>
      <w:r w:rsidR="00C97F06">
        <w:rPr>
          <w:bCs/>
        </w:rPr>
        <w:t xml:space="preserve">odlišný </w:t>
      </w:r>
      <w:r w:rsidRPr="00C97F06">
        <w:rPr>
          <w:bCs/>
        </w:rPr>
        <w:t xml:space="preserve">od trvalého pobytu zákonných zástupců, je nutné doložit </w:t>
      </w:r>
      <w:r w:rsidRPr="004D0E63">
        <w:rPr>
          <w:b/>
        </w:rPr>
        <w:t>potvrzení Obecního úřadu Čepí o trvalém a skutečném pobytu v obci Čepí</w:t>
      </w:r>
      <w:r w:rsidRPr="00C97F06">
        <w:rPr>
          <w:bCs/>
        </w:rPr>
        <w:t xml:space="preserve"> (razítko, podpis starosty / místostarosty)</w:t>
      </w:r>
    </w:p>
    <w:p w14:paraId="4165D968" w14:textId="77777777" w:rsidR="00540649" w:rsidRPr="00C97F06" w:rsidRDefault="00540649" w:rsidP="00E4240F">
      <w:pPr>
        <w:pStyle w:val="-wm-msonormal"/>
        <w:numPr>
          <w:ilvl w:val="0"/>
          <w:numId w:val="5"/>
        </w:numPr>
        <w:jc w:val="both"/>
        <w:rPr>
          <w:b/>
          <w:u w:val="single"/>
        </w:rPr>
      </w:pPr>
      <w:r w:rsidRPr="00C97F06">
        <w:rPr>
          <w:b/>
          <w:u w:val="single"/>
        </w:rPr>
        <w:t>Věk dítěte</w:t>
      </w:r>
    </w:p>
    <w:p w14:paraId="7B524EBB" w14:textId="4648A274" w:rsidR="00540649" w:rsidRPr="00C97F06" w:rsidRDefault="00540649" w:rsidP="00540649">
      <w:pPr>
        <w:pStyle w:val="-wm-msonormal"/>
        <w:jc w:val="both"/>
        <w:rPr>
          <w:bCs/>
        </w:rPr>
      </w:pPr>
      <w:r w:rsidRPr="00C97F06">
        <w:rPr>
          <w:bCs/>
        </w:rPr>
        <w:t>Věk dítěte se posuzuje k 31.8.202</w:t>
      </w:r>
      <w:r w:rsidR="0050020D">
        <w:rPr>
          <w:bCs/>
        </w:rPr>
        <w:t>3</w:t>
      </w:r>
      <w:r w:rsidRPr="00C97F06">
        <w:rPr>
          <w:bCs/>
        </w:rPr>
        <w:t>. Kritérium zaručuje řazení dětí od nejstaršího po nejmladší.</w:t>
      </w:r>
    </w:p>
    <w:p w14:paraId="108AD28B" w14:textId="77777777" w:rsidR="00576D47" w:rsidRPr="00C97F06" w:rsidRDefault="00576D47" w:rsidP="00540649">
      <w:pPr>
        <w:pStyle w:val="-wm-msonormal"/>
        <w:jc w:val="both"/>
        <w:rPr>
          <w:bCs/>
        </w:rPr>
      </w:pPr>
    </w:p>
    <w:p w14:paraId="4B45A3CE" w14:textId="77777777" w:rsidR="0074739E" w:rsidRDefault="0074739E" w:rsidP="0074739E">
      <w:pPr>
        <w:pStyle w:val="Zkladntext"/>
        <w:numPr>
          <w:ilvl w:val="0"/>
          <w:numId w:val="2"/>
        </w:numPr>
        <w:spacing w:before="60"/>
        <w:jc w:val="both"/>
        <w:rPr>
          <w:b/>
          <w:caps/>
        </w:rPr>
      </w:pPr>
      <w:r>
        <w:rPr>
          <w:b/>
          <w:caps/>
        </w:rPr>
        <w:t>oZNÁMENÍ VÝSLEDKů PŘIJÍMACÍHO ŘÍZENÍ</w:t>
      </w:r>
    </w:p>
    <w:p w14:paraId="4B45A3CF" w14:textId="77777777" w:rsidR="0074739E" w:rsidRDefault="0074739E" w:rsidP="0074739E">
      <w:pPr>
        <w:pStyle w:val="Zkladntext"/>
        <w:spacing w:before="60"/>
        <w:jc w:val="both"/>
      </w:pPr>
    </w:p>
    <w:p w14:paraId="4B45A3D0" w14:textId="77777777" w:rsidR="0074739E" w:rsidRDefault="0074739E" w:rsidP="0074739E">
      <w:pPr>
        <w:pStyle w:val="Zkladntext"/>
        <w:jc w:val="both"/>
      </w:pPr>
      <w:r w:rsidRPr="00587ECC">
        <w:t>Výsledkem rozhodování ve věci přijímání dítěte k předškolním</w:t>
      </w:r>
      <w:r>
        <w:t>u vzdělávání do Mateřské školy Čepí, okres Pardubice</w:t>
      </w:r>
      <w:r w:rsidRPr="00587ECC">
        <w:t xml:space="preserve"> je </w:t>
      </w:r>
      <w:r w:rsidRPr="00432642">
        <w:rPr>
          <w:u w:val="single"/>
        </w:rPr>
        <w:t>rozhodnutí o přijetí či nepřijetí uchazečů ke vzdělá</w:t>
      </w:r>
      <w:r>
        <w:rPr>
          <w:u w:val="single"/>
        </w:rPr>
        <w:t>vá</w:t>
      </w:r>
      <w:r w:rsidRPr="00432642">
        <w:rPr>
          <w:u w:val="single"/>
        </w:rPr>
        <w:t>ní</w:t>
      </w:r>
      <w:r w:rsidRPr="00587ECC">
        <w:t xml:space="preserve">. Toto rozhodnutí musí mít dle </w:t>
      </w:r>
      <w:r>
        <w:t>správního řádu písemnou podobu a být oznámeno do 30 dnů.</w:t>
      </w:r>
    </w:p>
    <w:p w14:paraId="4B45A3D1" w14:textId="77777777" w:rsidR="0074739E" w:rsidRPr="00587ECC" w:rsidRDefault="0074739E" w:rsidP="0074739E">
      <w:pPr>
        <w:pStyle w:val="Zkladntext"/>
        <w:numPr>
          <w:ilvl w:val="0"/>
          <w:numId w:val="1"/>
        </w:numPr>
        <w:spacing w:before="60"/>
        <w:jc w:val="both"/>
        <w:rPr>
          <w:caps/>
        </w:rPr>
      </w:pPr>
      <w:r>
        <w:rPr>
          <w:color w:val="000000"/>
          <w:shd w:val="clear" w:color="auto" w:fill="FFFFFF"/>
        </w:rPr>
        <w:t>Výsledky řízení jsou oznámeny zákonným zástupcům formou zveřejnění seznamu uchazečů pod přiděleným registračním číslem při podání žádosti, a to na internetových stránkách MŠ, na veřejně přístupném místě v objektu mateřské školy a na úřední desce Obecního úřadu Čepí po dobu 15 dnů ode dne vyvěšení. </w:t>
      </w:r>
      <w:r w:rsidRPr="00C50D05">
        <w:t xml:space="preserve"> </w:t>
      </w:r>
    </w:p>
    <w:p w14:paraId="415CFC65" w14:textId="3D85714C" w:rsidR="00C619C3" w:rsidRPr="00605824" w:rsidRDefault="0074739E" w:rsidP="0074739E">
      <w:pPr>
        <w:pStyle w:val="Zkladntext"/>
        <w:numPr>
          <w:ilvl w:val="0"/>
          <w:numId w:val="1"/>
        </w:numPr>
        <w:spacing w:before="60"/>
        <w:jc w:val="both"/>
        <w:rPr>
          <w:caps/>
        </w:rPr>
      </w:pPr>
      <w:r>
        <w:t>Rozhodnutí o nepřijetí bude zákonným zástupcům doručeno do vlastních rukou</w:t>
      </w:r>
      <w:r>
        <w:rPr>
          <w:caps/>
        </w:rPr>
        <w:t>.</w:t>
      </w:r>
    </w:p>
    <w:p w14:paraId="2A394FE9" w14:textId="77777777" w:rsidR="001745B0" w:rsidRDefault="001745B0" w:rsidP="0074739E">
      <w:pPr>
        <w:pStyle w:val="Zkladntext"/>
        <w:spacing w:before="60"/>
        <w:jc w:val="both"/>
        <w:rPr>
          <w:b/>
          <w:caps/>
        </w:rPr>
      </w:pPr>
    </w:p>
    <w:p w14:paraId="4B45A3D4" w14:textId="77777777" w:rsidR="0074739E" w:rsidRDefault="0074739E" w:rsidP="0074739E">
      <w:pPr>
        <w:pStyle w:val="Zkladntext"/>
        <w:numPr>
          <w:ilvl w:val="0"/>
          <w:numId w:val="2"/>
        </w:numPr>
        <w:spacing w:before="60"/>
        <w:jc w:val="both"/>
        <w:rPr>
          <w:b/>
          <w:caps/>
        </w:rPr>
      </w:pPr>
      <w:r>
        <w:rPr>
          <w:b/>
          <w:caps/>
        </w:rPr>
        <w:t>Závěrečná ustanovení</w:t>
      </w:r>
    </w:p>
    <w:p w14:paraId="4B45A3D5" w14:textId="77777777" w:rsidR="0074739E" w:rsidRDefault="0074739E" w:rsidP="0074739E">
      <w:pPr>
        <w:spacing w:before="60"/>
        <w:jc w:val="both"/>
      </w:pPr>
    </w:p>
    <w:p w14:paraId="4B45A3D8" w14:textId="4F283351" w:rsidR="0074739E" w:rsidRDefault="0074739E" w:rsidP="00134DA6">
      <w:pPr>
        <w:spacing w:before="60"/>
        <w:jc w:val="both"/>
      </w:pPr>
      <w:r>
        <w:t xml:space="preserve">Tyto podmínky a kritéria nabývají účinnosti od </w:t>
      </w:r>
      <w:r w:rsidR="000613F7">
        <w:t>1</w:t>
      </w:r>
      <w:r>
        <w:t>.</w:t>
      </w:r>
      <w:r w:rsidR="000613F7">
        <w:t>března</w:t>
      </w:r>
      <w:r w:rsidR="001745B0">
        <w:t xml:space="preserve"> </w:t>
      </w:r>
      <w:r>
        <w:t>202</w:t>
      </w:r>
      <w:r w:rsidR="000208DD">
        <w:t>3</w:t>
      </w:r>
      <w:r>
        <w:t>.</w:t>
      </w:r>
    </w:p>
    <w:p w14:paraId="54459366" w14:textId="0C349C41" w:rsidR="000208DD" w:rsidRDefault="000208DD" w:rsidP="00134DA6">
      <w:pPr>
        <w:spacing w:before="60"/>
        <w:jc w:val="both"/>
      </w:pPr>
    </w:p>
    <w:p w14:paraId="595B282D" w14:textId="192139E4" w:rsidR="000208DD" w:rsidRDefault="000208DD" w:rsidP="00134DA6">
      <w:pPr>
        <w:spacing w:before="60"/>
        <w:jc w:val="both"/>
      </w:pPr>
    </w:p>
    <w:p w14:paraId="2AB696C1" w14:textId="39C2230F" w:rsidR="000208DD" w:rsidRDefault="000208DD" w:rsidP="00134DA6">
      <w:pPr>
        <w:spacing w:before="60"/>
        <w:jc w:val="both"/>
      </w:pPr>
    </w:p>
    <w:p w14:paraId="67C7D216" w14:textId="77D37573" w:rsidR="000208DD" w:rsidRDefault="000208DD" w:rsidP="00134DA6">
      <w:pPr>
        <w:spacing w:before="60"/>
        <w:jc w:val="both"/>
      </w:pPr>
    </w:p>
    <w:p w14:paraId="064DA65B" w14:textId="77777777" w:rsidR="000208DD" w:rsidRPr="00134DA6" w:rsidRDefault="000208DD" w:rsidP="00134DA6">
      <w:pPr>
        <w:spacing w:before="60"/>
        <w:jc w:val="both"/>
      </w:pPr>
    </w:p>
    <w:p w14:paraId="4B45A3D9" w14:textId="21C30D09" w:rsidR="0074739E" w:rsidRDefault="0074739E" w:rsidP="0074739E">
      <w:pPr>
        <w:spacing w:before="60"/>
        <w:rPr>
          <w:sz w:val="18"/>
          <w:szCs w:val="18"/>
        </w:rPr>
      </w:pPr>
      <w:r>
        <w:tab/>
      </w:r>
      <w:r>
        <w:tab/>
        <w:t xml:space="preserve">                                                                                    </w:t>
      </w:r>
      <w:r w:rsidR="00134DA6">
        <w:t xml:space="preserve">              </w:t>
      </w:r>
      <w:r>
        <w:t>Bc.Soňa Kopecká</w:t>
      </w:r>
    </w:p>
    <w:p w14:paraId="4B45A3DB" w14:textId="1980CBB6" w:rsidR="00FD1D24" w:rsidRDefault="0074739E" w:rsidP="00400652">
      <w:pPr>
        <w:tabs>
          <w:tab w:val="left" w:pos="7020"/>
        </w:tabs>
      </w:pPr>
      <w:r>
        <w:rPr>
          <w:sz w:val="18"/>
          <w:szCs w:val="18"/>
        </w:rPr>
        <w:t xml:space="preserve">                                                                                                                                                    </w:t>
      </w:r>
      <w:r w:rsidR="00134DA6">
        <w:rPr>
          <w:sz w:val="18"/>
          <w:szCs w:val="18"/>
        </w:rPr>
        <w:t xml:space="preserve">           </w:t>
      </w:r>
      <w:r>
        <w:rPr>
          <w:sz w:val="18"/>
          <w:szCs w:val="18"/>
        </w:rPr>
        <w:t xml:space="preserve">   </w:t>
      </w:r>
      <w:r w:rsidRPr="00B77487">
        <w:t>ředitelka MŠ</w:t>
      </w:r>
    </w:p>
    <w:sectPr w:rsidR="00FD1D24" w:rsidSect="00002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AE7"/>
    <w:multiLevelType w:val="multilevel"/>
    <w:tmpl w:val="BED2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E2726"/>
    <w:multiLevelType w:val="hybridMultilevel"/>
    <w:tmpl w:val="A07E8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F14A08"/>
    <w:multiLevelType w:val="hybridMultilevel"/>
    <w:tmpl w:val="07E670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B65280"/>
    <w:multiLevelType w:val="hybridMultilevel"/>
    <w:tmpl w:val="74E4CFEE"/>
    <w:lvl w:ilvl="0" w:tplc="72CEE9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D85142"/>
    <w:multiLevelType w:val="hybridMultilevel"/>
    <w:tmpl w:val="BE289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4445398">
    <w:abstractNumId w:val="4"/>
  </w:num>
  <w:num w:numId="2" w16cid:durableId="2121799708">
    <w:abstractNumId w:val="2"/>
  </w:num>
  <w:num w:numId="3" w16cid:durableId="219750090">
    <w:abstractNumId w:val="0"/>
  </w:num>
  <w:num w:numId="4" w16cid:durableId="1204636658">
    <w:abstractNumId w:val="3"/>
  </w:num>
  <w:num w:numId="5" w16cid:durableId="152393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98"/>
    <w:rsid w:val="000027E6"/>
    <w:rsid w:val="000208DD"/>
    <w:rsid w:val="00054668"/>
    <w:rsid w:val="000613F7"/>
    <w:rsid w:val="00066C1A"/>
    <w:rsid w:val="000A6063"/>
    <w:rsid w:val="00112E60"/>
    <w:rsid w:val="00134DA6"/>
    <w:rsid w:val="00166B20"/>
    <w:rsid w:val="001745B0"/>
    <w:rsid w:val="0027412B"/>
    <w:rsid w:val="002F311E"/>
    <w:rsid w:val="00390C50"/>
    <w:rsid w:val="00400652"/>
    <w:rsid w:val="0041186C"/>
    <w:rsid w:val="00430719"/>
    <w:rsid w:val="004D0E63"/>
    <w:rsid w:val="004D1946"/>
    <w:rsid w:val="0050020D"/>
    <w:rsid w:val="00525888"/>
    <w:rsid w:val="00540649"/>
    <w:rsid w:val="00552F9D"/>
    <w:rsid w:val="0055459D"/>
    <w:rsid w:val="0057175B"/>
    <w:rsid w:val="00576D47"/>
    <w:rsid w:val="005A3EB1"/>
    <w:rsid w:val="005C658A"/>
    <w:rsid w:val="0060049A"/>
    <w:rsid w:val="00605824"/>
    <w:rsid w:val="00634D19"/>
    <w:rsid w:val="0066749E"/>
    <w:rsid w:val="00683A2C"/>
    <w:rsid w:val="006B2424"/>
    <w:rsid w:val="006E15E5"/>
    <w:rsid w:val="00735793"/>
    <w:rsid w:val="0074739E"/>
    <w:rsid w:val="00777BA2"/>
    <w:rsid w:val="007A23AE"/>
    <w:rsid w:val="007D72BE"/>
    <w:rsid w:val="008848BB"/>
    <w:rsid w:val="009A1EED"/>
    <w:rsid w:val="009C6863"/>
    <w:rsid w:val="00B66F68"/>
    <w:rsid w:val="00BF05C0"/>
    <w:rsid w:val="00C619C3"/>
    <w:rsid w:val="00C97F06"/>
    <w:rsid w:val="00CC6F98"/>
    <w:rsid w:val="00D12FF3"/>
    <w:rsid w:val="00DB0393"/>
    <w:rsid w:val="00E4240F"/>
    <w:rsid w:val="00E53D98"/>
    <w:rsid w:val="00E65427"/>
    <w:rsid w:val="00E74117"/>
    <w:rsid w:val="00ED6149"/>
    <w:rsid w:val="00EE288C"/>
    <w:rsid w:val="00EF37E9"/>
    <w:rsid w:val="00F00EA9"/>
    <w:rsid w:val="00F3206E"/>
    <w:rsid w:val="00FA3033"/>
    <w:rsid w:val="00FD1D24"/>
    <w:rsid w:val="00FE0C77"/>
    <w:rsid w:val="00FE2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A398"/>
  <w15:chartTrackingRefBased/>
  <w15:docId w15:val="{2B4FAB00-E335-4AF4-B836-8E3AF8E5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739E"/>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next w:val="Normln"/>
    <w:link w:val="Nadpis2Char"/>
    <w:uiPriority w:val="9"/>
    <w:unhideWhenUsed/>
    <w:qFormat/>
    <w:rsid w:val="0074739E"/>
    <w:pPr>
      <w:keepNext/>
      <w:keepLines/>
      <w:spacing w:after="4" w:line="267" w:lineRule="auto"/>
      <w:ind w:left="10" w:hanging="10"/>
      <w:outlineLvl w:val="1"/>
    </w:pPr>
    <w:rPr>
      <w:rFonts w:ascii="Bookman Old Style" w:eastAsia="Bookman Old Style" w:hAnsi="Bookman Old Style" w:cs="Bookman Old Style"/>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C6F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6F98"/>
    <w:rPr>
      <w:rFonts w:ascii="Segoe UI" w:hAnsi="Segoe UI" w:cs="Segoe UI"/>
      <w:sz w:val="18"/>
      <w:szCs w:val="18"/>
    </w:rPr>
  </w:style>
  <w:style w:type="character" w:customStyle="1" w:styleId="Nadpis2Char">
    <w:name w:val="Nadpis 2 Char"/>
    <w:basedOn w:val="Standardnpsmoodstavce"/>
    <w:link w:val="Nadpis2"/>
    <w:uiPriority w:val="9"/>
    <w:rsid w:val="0074739E"/>
    <w:rPr>
      <w:rFonts w:ascii="Bookman Old Style" w:eastAsia="Bookman Old Style" w:hAnsi="Bookman Old Style" w:cs="Bookman Old Style"/>
      <w:b/>
      <w:color w:val="000000"/>
      <w:sz w:val="24"/>
      <w:lang w:eastAsia="cs-CZ"/>
    </w:rPr>
  </w:style>
  <w:style w:type="paragraph" w:styleId="Zkladntext">
    <w:name w:val="Body Text"/>
    <w:basedOn w:val="Normln"/>
    <w:link w:val="ZkladntextChar"/>
    <w:rsid w:val="0074739E"/>
    <w:rPr>
      <w:szCs w:val="20"/>
    </w:rPr>
  </w:style>
  <w:style w:type="character" w:customStyle="1" w:styleId="ZkladntextChar">
    <w:name w:val="Základní text Char"/>
    <w:basedOn w:val="Standardnpsmoodstavce"/>
    <w:link w:val="Zkladntext"/>
    <w:rsid w:val="0074739E"/>
    <w:rPr>
      <w:rFonts w:ascii="Times New Roman" w:eastAsia="Times New Roman" w:hAnsi="Times New Roman" w:cs="Times New Roman"/>
      <w:sz w:val="24"/>
      <w:szCs w:val="20"/>
      <w:lang w:eastAsia="ar-SA"/>
    </w:rPr>
  </w:style>
  <w:style w:type="paragraph" w:styleId="Zhlav">
    <w:name w:val="header"/>
    <w:basedOn w:val="Normln"/>
    <w:link w:val="ZhlavChar"/>
    <w:semiHidden/>
    <w:rsid w:val="0074739E"/>
    <w:pPr>
      <w:tabs>
        <w:tab w:val="center" w:pos="4536"/>
        <w:tab w:val="right" w:pos="9072"/>
      </w:tabs>
    </w:pPr>
  </w:style>
  <w:style w:type="character" w:customStyle="1" w:styleId="ZhlavChar">
    <w:name w:val="Záhlaví Char"/>
    <w:basedOn w:val="Standardnpsmoodstavce"/>
    <w:link w:val="Zhlav"/>
    <w:semiHidden/>
    <w:rsid w:val="0074739E"/>
    <w:rPr>
      <w:rFonts w:ascii="Times New Roman" w:eastAsia="Times New Roman" w:hAnsi="Times New Roman" w:cs="Times New Roman"/>
      <w:sz w:val="24"/>
      <w:szCs w:val="24"/>
      <w:lang w:eastAsia="ar-SA"/>
    </w:rPr>
  </w:style>
  <w:style w:type="paragraph" w:styleId="Normlnweb">
    <w:name w:val="Normal (Web)"/>
    <w:basedOn w:val="Normln"/>
    <w:uiPriority w:val="99"/>
    <w:unhideWhenUsed/>
    <w:rsid w:val="0074739E"/>
    <w:pPr>
      <w:suppressAutoHyphens w:val="0"/>
      <w:spacing w:before="100" w:beforeAutospacing="1" w:after="100" w:afterAutospacing="1"/>
    </w:pPr>
    <w:rPr>
      <w:lang w:eastAsia="cs-CZ"/>
    </w:rPr>
  </w:style>
  <w:style w:type="character" w:styleId="Siln">
    <w:name w:val="Strong"/>
    <w:uiPriority w:val="22"/>
    <w:qFormat/>
    <w:rsid w:val="0074739E"/>
    <w:rPr>
      <w:b/>
      <w:bCs/>
    </w:rPr>
  </w:style>
  <w:style w:type="paragraph" w:customStyle="1" w:styleId="-wm-msonormal">
    <w:name w:val="-wm-msonormal"/>
    <w:basedOn w:val="Normln"/>
    <w:rsid w:val="0074739E"/>
    <w:pPr>
      <w:suppressAutoHyphens w:val="0"/>
      <w:spacing w:before="100" w:beforeAutospacing="1" w:after="100" w:afterAutospacing="1"/>
    </w:pPr>
    <w:rPr>
      <w:rFonts w:eastAsia="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905</Words>
  <Characters>5344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materska.skola@cepi.cz</cp:lastModifiedBy>
  <cp:revision>58</cp:revision>
  <cp:lastPrinted>2020-03-11T09:08:00Z</cp:lastPrinted>
  <dcterms:created xsi:type="dcterms:W3CDTF">2020-03-11T08:35:00Z</dcterms:created>
  <dcterms:modified xsi:type="dcterms:W3CDTF">2023-02-24T13:09:00Z</dcterms:modified>
</cp:coreProperties>
</file>